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FZXiaoBiaoSong-B05S" w:hAnsi="FZXiaoBiaoSong-B05S" w:eastAsia="FZXiaoBiaoSong-B05S" w:cs="宋体"/>
          <w:color w:val="000000" w:themeColor="text1"/>
          <w:kern w:val="0"/>
          <w:sz w:val="44"/>
          <w:szCs w:val="44"/>
          <w:highlight w:val="none"/>
          <w14:textFill>
            <w14:solidFill>
              <w14:schemeClr w14:val="tx1"/>
            </w14:solidFill>
          </w14:textFill>
        </w:rPr>
      </w:pPr>
      <w:r>
        <w:rPr>
          <w:rFonts w:hint="eastAsia" w:ascii="FZXiaoBiaoSong-B05S" w:hAnsi="FZXiaoBiaoSong-B05S" w:eastAsia="FZXiaoBiaoSong-B05S" w:cs="宋体"/>
          <w:color w:val="000000" w:themeColor="text1"/>
          <w:kern w:val="0"/>
          <w:sz w:val="44"/>
          <w:szCs w:val="44"/>
          <w:highlight w:val="none"/>
          <w14:textFill>
            <w14:solidFill>
              <w14:schemeClr w14:val="tx1"/>
            </w14:solidFill>
          </w14:textFill>
        </w:rPr>
        <w:t>北京交通工程学会20</w:t>
      </w:r>
      <w:r>
        <w:rPr>
          <w:rFonts w:ascii="FZXiaoBiaoSong-B05S" w:hAnsi="FZXiaoBiaoSong-B05S" w:eastAsia="FZXiaoBiaoSong-B05S" w:cs="宋体"/>
          <w:color w:val="000000" w:themeColor="text1"/>
          <w:kern w:val="0"/>
          <w:sz w:val="44"/>
          <w:szCs w:val="44"/>
          <w:highlight w:val="none"/>
          <w14:textFill>
            <w14:solidFill>
              <w14:schemeClr w14:val="tx1"/>
            </w14:solidFill>
          </w14:textFill>
        </w:rPr>
        <w:t>2</w:t>
      </w:r>
      <w:r>
        <w:rPr>
          <w:rFonts w:hint="eastAsia" w:ascii="FZXiaoBiaoSong-B05S" w:hAnsi="FZXiaoBiaoSong-B05S" w:eastAsia="FZXiaoBiaoSong-B05S" w:cs="宋体"/>
          <w:color w:val="000000" w:themeColor="text1"/>
          <w:kern w:val="0"/>
          <w:sz w:val="44"/>
          <w:szCs w:val="44"/>
          <w:highlight w:val="none"/>
          <w:lang w:val="en-US" w:eastAsia="zh-CN"/>
          <w14:textFill>
            <w14:solidFill>
              <w14:schemeClr w14:val="tx1"/>
            </w14:solidFill>
          </w14:textFill>
        </w:rPr>
        <w:t>2</w:t>
      </w:r>
      <w:r>
        <w:rPr>
          <w:rFonts w:hint="eastAsia" w:ascii="FZXiaoBiaoSong-B05S" w:hAnsi="FZXiaoBiaoSong-B05S" w:eastAsia="FZXiaoBiaoSong-B05S" w:cs="宋体"/>
          <w:color w:val="000000" w:themeColor="text1"/>
          <w:kern w:val="0"/>
          <w:sz w:val="44"/>
          <w:szCs w:val="44"/>
          <w:highlight w:val="none"/>
          <w14:textFill>
            <w14:solidFill>
              <w14:schemeClr w14:val="tx1"/>
            </w14:solidFill>
          </w14:textFill>
        </w:rPr>
        <w:t>年度工作总结及20</w:t>
      </w:r>
      <w:r>
        <w:rPr>
          <w:rFonts w:ascii="FZXiaoBiaoSong-B05S" w:hAnsi="FZXiaoBiaoSong-B05S" w:eastAsia="FZXiaoBiaoSong-B05S" w:cs="宋体"/>
          <w:color w:val="000000" w:themeColor="text1"/>
          <w:kern w:val="0"/>
          <w:sz w:val="44"/>
          <w:szCs w:val="44"/>
          <w:highlight w:val="none"/>
          <w14:textFill>
            <w14:solidFill>
              <w14:schemeClr w14:val="tx1"/>
            </w14:solidFill>
          </w14:textFill>
        </w:rPr>
        <w:t>2</w:t>
      </w:r>
      <w:r>
        <w:rPr>
          <w:rFonts w:hint="eastAsia" w:ascii="FZXiaoBiaoSong-B05S" w:hAnsi="FZXiaoBiaoSong-B05S" w:eastAsia="FZXiaoBiaoSong-B05S" w:cs="宋体"/>
          <w:color w:val="000000" w:themeColor="text1"/>
          <w:kern w:val="0"/>
          <w:sz w:val="44"/>
          <w:szCs w:val="44"/>
          <w:highlight w:val="none"/>
          <w:lang w:val="en-US" w:eastAsia="zh-CN"/>
          <w14:textFill>
            <w14:solidFill>
              <w14:schemeClr w14:val="tx1"/>
            </w14:solidFill>
          </w14:textFill>
        </w:rPr>
        <w:t>3</w:t>
      </w:r>
      <w:r>
        <w:rPr>
          <w:rFonts w:hint="eastAsia" w:ascii="FZXiaoBiaoSong-B05S" w:hAnsi="FZXiaoBiaoSong-B05S" w:eastAsia="FZXiaoBiaoSong-B05S" w:cs="宋体"/>
          <w:color w:val="000000" w:themeColor="text1"/>
          <w:kern w:val="0"/>
          <w:sz w:val="44"/>
          <w:szCs w:val="44"/>
          <w:highlight w:val="none"/>
          <w14:textFill>
            <w14:solidFill>
              <w14:schemeClr w14:val="tx1"/>
            </w14:solidFill>
          </w14:textFill>
        </w:rPr>
        <w:t>年度工作要点</w:t>
      </w:r>
    </w:p>
    <w:p>
      <w:pPr>
        <w:widowControl/>
        <w:spacing w:line="620" w:lineRule="exact"/>
        <w:ind w:firstLine="640" w:firstLineChars="200"/>
        <w:jc w:val="left"/>
        <w:rPr>
          <w:rFonts w:ascii="仿宋_GB2312" w:hAnsi="仿宋_GB2312" w:eastAsia="仿宋_GB2312" w:cs="宋体"/>
          <w:color w:val="000000" w:themeColor="text1"/>
          <w:kern w:val="0"/>
          <w:sz w:val="32"/>
          <w:szCs w:val="32"/>
          <w:highlight w:val="none"/>
          <w14:textFill>
            <w14:solidFill>
              <w14:schemeClr w14:val="tx1"/>
            </w14:solidFill>
          </w14:textFill>
        </w:rPr>
      </w:pPr>
    </w:p>
    <w:p>
      <w:pPr>
        <w:widowControl/>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根据《北京市科协系统深化改革实施方案》和关于经理学术实践的工作要求，现将学会2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年度的工作总结和2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年度的工作要点报送如下：</w:t>
      </w:r>
    </w:p>
    <w:p>
      <w:pPr>
        <w:widowControl/>
        <w:spacing w:line="620" w:lineRule="exact"/>
        <w:jc w:val="center"/>
        <w:rPr>
          <w:rFonts w:ascii="FZXiaoBiaoSong-B05S" w:hAnsi="FZXiaoBiaoSong-B05S" w:eastAsia="FZXiaoBiaoSong-B05S" w:cs="宋体"/>
          <w:color w:val="000000" w:themeColor="text1"/>
          <w:kern w:val="0"/>
          <w:sz w:val="44"/>
          <w:szCs w:val="44"/>
          <w:highlight w:val="none"/>
          <w14:textFill>
            <w14:solidFill>
              <w14:schemeClr w14:val="tx1"/>
            </w14:solidFill>
          </w14:textFill>
        </w:rPr>
      </w:pPr>
      <w:r>
        <w:rPr>
          <w:rFonts w:hint="eastAsia" w:ascii="FZXiaoBiaoSong-B05S" w:hAnsi="FZXiaoBiaoSong-B05S" w:eastAsia="FZXiaoBiaoSong-B05S" w:cs="宋体"/>
          <w:color w:val="000000" w:themeColor="text1"/>
          <w:kern w:val="0"/>
          <w:sz w:val="44"/>
          <w:szCs w:val="44"/>
          <w:highlight w:val="none"/>
          <w14:textFill>
            <w14:solidFill>
              <w14:schemeClr w14:val="tx1"/>
            </w14:solidFill>
          </w14:textFill>
        </w:rPr>
        <w:t>2</w:t>
      </w:r>
      <w:r>
        <w:rPr>
          <w:rFonts w:ascii="FZXiaoBiaoSong-B05S" w:hAnsi="FZXiaoBiaoSong-B05S" w:eastAsia="FZXiaoBiaoSong-B05S" w:cs="宋体"/>
          <w:color w:val="000000" w:themeColor="text1"/>
          <w:kern w:val="0"/>
          <w:sz w:val="44"/>
          <w:szCs w:val="44"/>
          <w:highlight w:val="none"/>
          <w14:textFill>
            <w14:solidFill>
              <w14:schemeClr w14:val="tx1"/>
            </w14:solidFill>
          </w14:textFill>
        </w:rPr>
        <w:t>02</w:t>
      </w:r>
      <w:r>
        <w:rPr>
          <w:rFonts w:hint="eastAsia" w:ascii="FZXiaoBiaoSong-B05S" w:hAnsi="FZXiaoBiaoSong-B05S" w:eastAsia="FZXiaoBiaoSong-B05S" w:cs="宋体"/>
          <w:color w:val="000000" w:themeColor="text1"/>
          <w:kern w:val="0"/>
          <w:sz w:val="44"/>
          <w:szCs w:val="44"/>
          <w:highlight w:val="none"/>
          <w:lang w:val="en-US" w:eastAsia="zh-CN"/>
          <w14:textFill>
            <w14:solidFill>
              <w14:schemeClr w14:val="tx1"/>
            </w14:solidFill>
          </w14:textFill>
        </w:rPr>
        <w:t>2</w:t>
      </w:r>
      <w:r>
        <w:rPr>
          <w:rFonts w:hint="eastAsia" w:ascii="FZXiaoBiaoSong-B05S" w:hAnsi="FZXiaoBiaoSong-B05S" w:eastAsia="FZXiaoBiaoSong-B05S" w:cs="宋体"/>
          <w:color w:val="000000" w:themeColor="text1"/>
          <w:kern w:val="0"/>
          <w:sz w:val="44"/>
          <w:szCs w:val="44"/>
          <w:highlight w:val="none"/>
          <w14:textFill>
            <w14:solidFill>
              <w14:schemeClr w14:val="tx1"/>
            </w14:solidFill>
          </w14:textFill>
        </w:rPr>
        <w:t>年工作总结</w:t>
      </w:r>
      <w:bookmarkStart w:id="0" w:name="_GoBack"/>
      <w:bookmarkEnd w:id="0"/>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一、党建工作</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学会一直高度重视党的建设工作，把党建工作摆在首位，以党建工作促进业务工作、以党建工作引领学会改革发展。特别是自学会党建工作小组成立以来，在市科协社会组织党建委的领导下，根据《北京市科协系统深化改革实施方案》要求，围绕以党建促社建、以党建促改革的发展思路，发挥政治核心作用，团结凝聚首都广大交通工程领域科技工作者，为北京的交通运输专业学术发展把握正确的方向，为北京的交通运输行业发展保驾护航，为学会健康、稳定发展站好岗、把好关。</w:t>
      </w:r>
    </w:p>
    <w:p>
      <w:pPr>
        <w:spacing w:line="620" w:lineRule="exact"/>
        <w:ind w:firstLine="640" w:firstLineChars="200"/>
        <w:rPr>
          <w:rFonts w:ascii="仿宋_GB2312" w:hAnsi="仿宋_GB2312" w:eastAsia="仿宋_GB2312"/>
          <w:color w:val="000000" w:themeColor="text1"/>
          <w:sz w:val="21"/>
          <w:szCs w:val="21"/>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我们必须清醒认识到，党建工作是一项系统工程、生命工程，任何时候都松懈不得。学会高度重视党的建设，注重发挥思想政治引领作用，坚持把党的政治建设摆在首位，定期组织党建工作小组成员开展集体学习，学习贯彻落实习近平新时代中国特色社会主义思想和党的</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二十</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届</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一</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中全会精神，坚持和完善中国特色社会主义制度、推进国家治理体系和治理能力现代化，巩固市科协社会组织“不忘初心、牢记使命”主题教育，注重真学真悟、注重强化落实，做到党建责任常思在心、党建工作常抓在手，以理论知识武装头脑，提高思想认识，增强政治意识、大局意识、核心意识、看齐意识，全面提升学会党建工作的制度化、科学化、规范化水平，切实把好关系到学会发展的政治关。同时，学会开展多种形式的红色主题教育活动，加强学会党员的党性修养。学会深入开展学雷锋活动，大力弘扬雷锋精神，践行社会主义核心价值观，</w:t>
      </w:r>
      <w:r>
        <w:rPr>
          <w:rFonts w:hint="eastAsia" w:ascii="仿宋_GB2312" w:hAnsi="仿宋_GB2312" w:eastAsia="仿宋_GB2312"/>
          <w:color w:val="000000" w:themeColor="text1"/>
          <w:sz w:val="32"/>
          <w:szCs w:val="32"/>
          <w:highlight w:val="none"/>
          <w14:textFill>
            <w14:solidFill>
              <w14:schemeClr w14:val="tx1"/>
            </w14:solidFill>
          </w14:textFill>
        </w:rPr>
        <w:t>2</w:t>
      </w:r>
      <w:r>
        <w:rPr>
          <w:rFonts w:ascii="仿宋_GB2312" w:hAnsi="仿宋_GB2312" w:eastAsia="仿宋_GB2312"/>
          <w:color w:val="000000" w:themeColor="text1"/>
          <w:sz w:val="32"/>
          <w:szCs w:val="32"/>
          <w:highlight w:val="none"/>
          <w14:textFill>
            <w14:solidFill>
              <w14:schemeClr w14:val="tx1"/>
            </w14:solidFill>
          </w14:textFill>
        </w:rPr>
        <w:t>02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sz w:val="32"/>
          <w:szCs w:val="32"/>
          <w:highlight w:val="none"/>
          <w14:textFill>
            <w14:solidFill>
              <w14:schemeClr w14:val="tx1"/>
            </w14:solidFill>
          </w14:textFill>
        </w:rPr>
        <w:t>年学会将继续</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加强思想道德建设，始终贯彻雷锋精神，把握精神实质。</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auto"/>
          <w:kern w:val="0"/>
          <w:sz w:val="32"/>
          <w:szCs w:val="32"/>
          <w:highlight w:val="none"/>
        </w:rPr>
        <w:t>根据《中共中央关于在全党开展“不忘初心、牢记使命”主题教育的意见》和习近平总书记在中央主题教育工作会议上的讲话精神，按照中共北京市委《关于在全市开展“不忘初心、牢记使命”主题教育的实施方案》的总体部署和要求，</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在学会党建工作小组内开展</w:t>
      </w:r>
      <w:r>
        <w:rPr>
          <w:rFonts w:ascii="仿宋_GB2312" w:hAnsi="仿宋_GB2312" w:eastAsia="仿宋_GB2312" w:cs="宋体"/>
          <w:color w:val="000000" w:themeColor="text1"/>
          <w:kern w:val="0"/>
          <w:sz w:val="32"/>
          <w:szCs w:val="32"/>
          <w:highlight w:val="none"/>
          <w14:textFill>
            <w14:solidFill>
              <w14:schemeClr w14:val="tx1"/>
            </w14:solidFill>
          </w14:textFill>
        </w:rPr>
        <w:t>2次围绕中国共产党人的初心和使命的集中学习研讨，学习贯彻落实习近平新时代中国特色社会主义思想，切实增强党性、提高认识、改进作风，将理论武装成果更好地转化为推动科技社团改革发展的能力和水平。</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以党建引领科技社团改革发展结合科技社团发展实际，开展调研工作，查找与兄弟科技社团、全国学会及相关领域国际组织间的差距和自身存在的问题。根据调研结果，对照初心使命，查找思想政治上的差距所在、精神状态上的不足之处和工作作风上的薄弱环节，对照市科协系统深化改革的目标任务，学会党建工作小组组长荣建带领学会党员干部，追溯党的根脉，解读党的初心，进行了一次生动的党课教育和深刻的灵魂洗礼。党的</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二十</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大明确要求</w:t>
      </w:r>
      <w:r>
        <w:rPr>
          <w:rFonts w:hint="eastAsia" w:ascii="仿宋_GB2312" w:hAnsi="仿宋_GB2312" w:eastAsia="仿宋_GB2312" w:cs="宋体"/>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在全党开展‘不忘初心、牢记使命’主题教育，用党的创新理论武装头脑，推动全党更加自觉地为实现新时代党的历史使命不懈奋斗”。我们要紧跟总书记步伐，落实</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二十</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大部署要求，深入扎实搞好“不忘初心、牢记使命”主题教育。组内成员认真分享个人对运用习近平新时代中国特色社会主义思想指导、推动科技社团改革发展的理解；同时，组内针对检视出的问题、存在的差距，剖析原因、找准症结，切实提出解决问题、改进工作的办法措施。</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学会党建工作小组进一步落实管党治党的政治责任，对学会党建工作提出了严格而具体的要求，</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完善</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北京交通工程学会党建工作小组议事规则》等相关材料，规范学会党建工作。同时，学会重大事项决议前，均需经过党建工作小组讨论，从政治上对内容进行把关后，再提交学会理事会讨论，把党建工作与业务工作紧密结合起来抓具体、抓深入，真正做到两手抓两手硬、两不误两促进。</w:t>
      </w:r>
    </w:p>
    <w:p>
      <w:pPr>
        <w:spacing w:line="620" w:lineRule="exact"/>
        <w:ind w:firstLine="672" w:firstLineChars="200"/>
        <w:rPr>
          <w:rFonts w:ascii="微软雅黑" w:hAnsi="微软雅黑" w:eastAsia="微软雅黑"/>
          <w:color w:val="000000" w:themeColor="text1"/>
          <w:spacing w:val="8"/>
          <w:sz w:val="32"/>
          <w:szCs w:val="32"/>
          <w:highlight w:val="none"/>
          <w:shd w:val="clear" w:color="auto" w:fill="FFFFFF"/>
          <w14:textFill>
            <w14:solidFill>
              <w14:schemeClr w14:val="tx1"/>
            </w14:solidFill>
          </w14:textFill>
        </w:rPr>
      </w:pPr>
      <w:r>
        <w:rPr>
          <w:rFonts w:hint="eastAsia" w:ascii="微软雅黑" w:hAnsi="微软雅黑" w:eastAsia="微软雅黑"/>
          <w:color w:val="000000" w:themeColor="text1"/>
          <w:spacing w:val="8"/>
          <w:sz w:val="32"/>
          <w:szCs w:val="32"/>
          <w:highlight w:val="none"/>
          <w:shd w:val="clear" w:color="auto" w:fill="FFFFFF"/>
          <w14:textFill>
            <w14:solidFill>
              <w14:schemeClr w14:val="tx1"/>
            </w14:solidFill>
          </w14:textFill>
        </w:rPr>
        <w:t>深入学习贯彻党的</w:t>
      </w:r>
      <w:r>
        <w:rPr>
          <w:rFonts w:hint="eastAsia" w:ascii="微软雅黑" w:hAnsi="微软雅黑" w:eastAsia="微软雅黑"/>
          <w:color w:val="000000" w:themeColor="text1"/>
          <w:spacing w:val="8"/>
          <w:sz w:val="32"/>
          <w:szCs w:val="32"/>
          <w:highlight w:val="none"/>
          <w:shd w:val="clear" w:color="auto" w:fill="FFFFFF"/>
          <w:lang w:val="en-US" w:eastAsia="zh-CN"/>
          <w14:textFill>
            <w14:solidFill>
              <w14:schemeClr w14:val="tx1"/>
            </w14:solidFill>
          </w14:textFill>
        </w:rPr>
        <w:t>二十</w:t>
      </w:r>
      <w:r>
        <w:rPr>
          <w:rFonts w:hint="eastAsia" w:ascii="微软雅黑" w:hAnsi="微软雅黑" w:eastAsia="微软雅黑"/>
          <w:color w:val="000000" w:themeColor="text1"/>
          <w:spacing w:val="8"/>
          <w:sz w:val="32"/>
          <w:szCs w:val="32"/>
          <w:highlight w:val="none"/>
          <w:shd w:val="clear" w:color="auto" w:fill="FFFFFF"/>
          <w14:textFill>
            <w14:solidFill>
              <w14:schemeClr w14:val="tx1"/>
            </w14:solidFill>
          </w14:textFill>
        </w:rPr>
        <w:t>届</w:t>
      </w:r>
      <w:r>
        <w:rPr>
          <w:rFonts w:hint="eastAsia" w:ascii="微软雅黑" w:hAnsi="微软雅黑" w:eastAsia="微软雅黑"/>
          <w:color w:val="000000" w:themeColor="text1"/>
          <w:spacing w:val="8"/>
          <w:sz w:val="32"/>
          <w:szCs w:val="32"/>
          <w:highlight w:val="none"/>
          <w:shd w:val="clear" w:color="auto" w:fill="FFFFFF"/>
          <w:lang w:val="en-US" w:eastAsia="zh-CN"/>
          <w14:textFill>
            <w14:solidFill>
              <w14:schemeClr w14:val="tx1"/>
            </w14:solidFill>
          </w14:textFill>
        </w:rPr>
        <w:t>一</w:t>
      </w:r>
      <w:r>
        <w:rPr>
          <w:rFonts w:hint="eastAsia" w:ascii="微软雅黑" w:hAnsi="微软雅黑" w:eastAsia="微软雅黑"/>
          <w:color w:val="000000" w:themeColor="text1"/>
          <w:spacing w:val="8"/>
          <w:sz w:val="32"/>
          <w:szCs w:val="32"/>
          <w:highlight w:val="none"/>
          <w:shd w:val="clear" w:color="auto" w:fill="FFFFFF"/>
          <w14:textFill>
            <w14:solidFill>
              <w14:schemeClr w14:val="tx1"/>
            </w14:solidFill>
          </w14:textFill>
        </w:rPr>
        <w:t>中全会精神，大力弘扬科学家精神，学会传承优良学风、坚守学术诚信、遵守学术规范、完善学术人格、维护学术尊严，努力践行优良学术道德，维护良好学术风气。在党建工作小组带领下组织学会秘书处工作人员、会员观看202</w:t>
      </w:r>
      <w:r>
        <w:rPr>
          <w:rFonts w:hint="eastAsia" w:ascii="微软雅黑" w:hAnsi="微软雅黑" w:eastAsia="微软雅黑"/>
          <w:color w:val="000000" w:themeColor="text1"/>
          <w:spacing w:val="8"/>
          <w:sz w:val="32"/>
          <w:szCs w:val="32"/>
          <w:highlight w:val="none"/>
          <w:shd w:val="clear" w:color="auto" w:fill="FFFFFF"/>
          <w:lang w:val="en-US" w:eastAsia="zh-CN"/>
          <w14:textFill>
            <w14:solidFill>
              <w14:schemeClr w14:val="tx1"/>
            </w14:solidFill>
          </w14:textFill>
        </w:rPr>
        <w:t>2</w:t>
      </w:r>
      <w:r>
        <w:rPr>
          <w:rFonts w:hint="eastAsia" w:ascii="微软雅黑" w:hAnsi="微软雅黑" w:eastAsia="微软雅黑"/>
          <w:color w:val="000000" w:themeColor="text1"/>
          <w:spacing w:val="8"/>
          <w:sz w:val="32"/>
          <w:szCs w:val="32"/>
          <w:highlight w:val="none"/>
          <w:shd w:val="clear" w:color="auto" w:fill="FFFFFF"/>
          <w14:textFill>
            <w14:solidFill>
              <w14:schemeClr w14:val="tx1"/>
            </w14:solidFill>
          </w14:textFill>
        </w:rPr>
        <w:t>年全国科学道德和学风建设宣讲教育报告会。</w:t>
      </w:r>
    </w:p>
    <w:p>
      <w:pPr>
        <w:spacing w:line="62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在党建工作小组的领导下，学会组织开展“关爱生命，文明出行”交通安全进校园主题宣传教育活动，通过讲解交通标志，反光标志，让孩子们了解 “被看见”的重要性，并在有趣欢乐的体验活动中学习交通安全知识。交通安全教育应从小抓起，让幼儿从小懂得交通，从小就把安全意识、文明意识放在心中。通过此次活动，提高了孩子们的交通安全常识和文明交通知识，大力营造安全、畅通、文明的交通环境和氛围，让小朋友们在游戏中懂得遵守交通安全法律法规，增强广大“小”交通参与者交通安全法制意识和自我防范能力，培养了小朋友们文明行路的好习惯!</w:t>
      </w: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二、人才工作</w:t>
      </w:r>
    </w:p>
    <w:p>
      <w:pPr>
        <w:widowControl/>
        <w:spacing w:line="620" w:lineRule="exact"/>
        <w:ind w:firstLine="640" w:firstLineChars="200"/>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北京交通工程学会作为北京市科协系统的成员，是多种人才表彰的推荐渠道。学会把会员管理和人才工作相结合，不断发现和跟踪优秀人才，结合他们的实际情况和个人意愿，把被推荐人向更高的人才计划和表彰推荐。</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在北京市科协青年人才托举工程中北京交通工程学会已连续</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年参与此项工作， 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年共推荐</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名青年人才到北京市科学技术协会，已有</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20</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名交通领域青年人才通过学会进入该工程。今年学会组织了</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第四、五</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期智能交通系列线上讲座，全部</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场讲座向托举的</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20</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位青年人才免费开放，为他们搭建学习和交流的平台；学会充分发挥学会理事会和专家委员会的作用，通过“拜师” “结对”等形式，在他们成长成才需要的关键时刻提供咨询和指导，培养北京交通事业发展亟需的青年人才。学会在《交通工程》杂志刊登青年人才的优秀科技成果并向更高层次奖励推荐青年人才及其研究成果。</w:t>
      </w: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三、学术交流</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学术交流是学会的内在推动力。2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年，学会主办了2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有奖征文活动。以“数字城市赋能绿色交通、数字交通助力韧性城市”为主题，面向会员单位及个人、各高校、科研单位征集优秀论文，共收到来自全国22个省级行政区域的优秀论文200余篇，通过专家委员会的严格评选，最终评选出了一等奖2名，二等奖5名，三等奖10名，优秀奖10名，</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近期将</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邀请获奖论文作者分享并参与有奖征文主题沙龙。举办第</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四</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届优秀博士论文评选活动，并评选出</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10</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篇优秀博士论文。围绕智能交通主题展开学术交流，组织专业培训，邀请相关政府人员，广大理事，学会会员以及从事交通工程行业工作的专家、学者、科技人员、技术管理人员、企业生产人员参加讲座。</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为落实市科协党组关于经理学术实践工作部署和构建服务北京科创中心建设学术交流主平台的工作要求，加强对科技工作者的社会化服务，搭建跨界交流平台；聚焦发现和培养包括青年科技工作者在内的各类人才和创新团队；打造有温度、可信赖，有活力、具实效的科技工作者之家。</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学会分别于</w:t>
      </w:r>
      <w:r>
        <w:rPr>
          <w:rFonts w:ascii="仿宋_GB2312" w:hAnsi="仿宋_GB2312" w:eastAsia="仿宋_GB2312" w:cs="宋体"/>
          <w:color w:val="000000" w:themeColor="text1"/>
          <w:kern w:val="0"/>
          <w:sz w:val="32"/>
          <w:szCs w:val="32"/>
          <w:highlight w:val="none"/>
          <w14:textFill>
            <w14:solidFill>
              <w14:schemeClr w14:val="tx1"/>
            </w14:solidFill>
          </w14:textFill>
        </w:rPr>
        <w:t>202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ascii="仿宋_GB2312" w:hAnsi="仿宋_GB2312" w:eastAsia="仿宋_GB2312" w:cs="宋体"/>
          <w:color w:val="000000" w:themeColor="text1"/>
          <w:kern w:val="0"/>
          <w:sz w:val="32"/>
          <w:szCs w:val="32"/>
          <w:highlight w:val="none"/>
          <w14:textFill>
            <w14:solidFill>
              <w14:schemeClr w14:val="tx1"/>
            </w14:solidFill>
          </w14:textFill>
        </w:rPr>
        <w:t>年</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8</w:t>
      </w:r>
      <w:r>
        <w:rPr>
          <w:rFonts w:ascii="仿宋_GB2312" w:hAnsi="仿宋_GB2312" w:eastAsia="仿宋_GB2312" w:cs="宋体"/>
          <w:color w:val="000000" w:themeColor="text1"/>
          <w:kern w:val="0"/>
          <w:sz w:val="32"/>
          <w:szCs w:val="32"/>
          <w:highlight w:val="none"/>
          <w14:textFill>
            <w14:solidFill>
              <w14:schemeClr w14:val="tx1"/>
            </w14:solidFill>
          </w14:textFill>
        </w:rPr>
        <w:t>月</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ascii="仿宋_GB2312" w:hAnsi="仿宋_GB2312" w:eastAsia="仿宋_GB2312" w:cs="宋体"/>
          <w:color w:val="000000" w:themeColor="text1"/>
          <w:kern w:val="0"/>
          <w:sz w:val="32"/>
          <w:szCs w:val="32"/>
          <w:highlight w:val="none"/>
          <w14:textFill>
            <w14:solidFill>
              <w14:schemeClr w14:val="tx1"/>
            </w14:solidFill>
          </w14:textFill>
        </w:rPr>
        <w:t>日</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和12月5日</w:t>
      </w:r>
      <w:r>
        <w:rPr>
          <w:rFonts w:ascii="仿宋_GB2312" w:hAnsi="仿宋_GB2312" w:eastAsia="仿宋_GB2312" w:cs="宋体"/>
          <w:color w:val="000000" w:themeColor="text1"/>
          <w:kern w:val="0"/>
          <w:sz w:val="32"/>
          <w:szCs w:val="32"/>
          <w:highlight w:val="none"/>
          <w14:textFill>
            <w14:solidFill>
              <w14:schemeClr w14:val="tx1"/>
            </w14:solidFill>
          </w14:textFill>
        </w:rPr>
        <w:t>，</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召开“青年科技工作者跨界交流（碳中和）领域主题沙龙”、“青年科技工作者跨界交流（车联网）领域主题沙龙”</w:t>
      </w:r>
      <w:r>
        <w:rPr>
          <w:rFonts w:ascii="仿宋_GB2312" w:hAnsi="仿宋_GB2312" w:eastAsia="仿宋_GB2312" w:cs="宋体"/>
          <w:color w:val="000000" w:themeColor="text1"/>
          <w:kern w:val="0"/>
          <w:sz w:val="32"/>
          <w:szCs w:val="32"/>
          <w:highlight w:val="none"/>
          <w14:textFill>
            <w14:solidFill>
              <w14:schemeClr w14:val="tx1"/>
            </w14:solidFill>
          </w14:textFill>
        </w:rPr>
        <w:t>。</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北京交通工程学会为推动完善我国交通工程学科的知识体系，组织职业交通工程师系列讲座，特别邀请兼具交通工程系统知识和丰富实践经验的台湾学者徐耀赐教授，向广大交通工程从业人员开展培训，2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月</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15</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至2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年1</w:t>
      </w:r>
      <w:r>
        <w:rPr>
          <w:rFonts w:ascii="仿宋_GB2312" w:hAnsi="仿宋_GB2312" w:eastAsia="仿宋_GB2312" w:cs="宋体"/>
          <w:color w:val="000000" w:themeColor="text1"/>
          <w:kern w:val="0"/>
          <w:sz w:val="32"/>
          <w:szCs w:val="32"/>
          <w:highlight w:val="none"/>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月2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日共进行</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ascii="仿宋_GB2312" w:hAnsi="仿宋_GB2312" w:eastAsia="仿宋_GB2312" w:cs="宋体"/>
          <w:color w:val="000000" w:themeColor="text1"/>
          <w:kern w:val="0"/>
          <w:sz w:val="32"/>
          <w:szCs w:val="32"/>
          <w:highlight w:val="none"/>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场线上培训，共计</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66</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学时，培训课题</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12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项，培训人员共计千余人。</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另外学会邀请青年托举人才进行学术演讲，共计6场。</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学术交流注重品牌化建设，许多活动已经连续举办了多年，经过多年的坚持，在会员中已经形成了一定的影响力。</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近期学会还将举办</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第</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五</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届交通运输行业博士论坛，为交通运输领域青年科学工作者提供了解前沿知识、相互认识与交流的平台，促进交通运输行业理论研究和社会实践的结合。</w:t>
      </w:r>
    </w:p>
    <w:p>
      <w:pPr>
        <w:spacing w:line="620" w:lineRule="exact"/>
        <w:ind w:firstLine="640" w:firstLineChars="200"/>
        <w:rPr>
          <w:rFonts w:hint="default" w:ascii="仿宋_GB2312" w:hAnsi="仿宋_GB2312"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学会与北京航空航天大学合作，分别于</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1</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0</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月</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19</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日</w:t>
      </w:r>
      <w:r>
        <w:rPr>
          <w:rFonts w:hint="eastAsia" w:ascii="仿宋_GB2312" w:hAnsi="仿宋_GB2312" w:eastAsia="仿宋_GB2312" w:cs="宋体"/>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11月12日举办两期智能交通领域青年学者论坛海外专场</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邀请海外青年学者展示学术成果，分享工作经验，为国内外青年学者们搭建国际学术交流平台。</w:t>
      </w: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三、科技评价</w:t>
      </w:r>
    </w:p>
    <w:p>
      <w:pPr>
        <w:widowControl/>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作为北京市科协首批科技评价试点单位，2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年度，学会继续开展2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北京交通工程学会有奖征文活动，活动以“数字城市赋能绿色交通、数字交通助力韧性城市”为主题，面向会员单位及个人、各高校、科研单位征集优秀论文，共收到来自全国22个省级行政区域的优秀论文200余篇，通过专家委员会的严格评选，最终评选出了一等奖2名，二等奖5名，三等奖10名，优秀奖10名。这已经是学会第七次举办有奖征文活动，是学会联系行业科技工作者、提升学会学术影响力、发现优秀青年人才的重要抓手 。</w:t>
      </w:r>
    </w:p>
    <w:p>
      <w:pPr>
        <w:widowControl/>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在北京市科协的指导下，新的学术评价、人才评价的活动也开展了起来，第</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四</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届交通运输工程全国优秀博士学位论文评选面向全国设有交通运输工程专业的2</w:t>
      </w:r>
      <w:r>
        <w:rPr>
          <w:rFonts w:ascii="仿宋_GB2312" w:hAnsi="仿宋_GB2312" w:eastAsia="仿宋_GB2312" w:cs="宋体"/>
          <w:color w:val="000000" w:themeColor="text1"/>
          <w:kern w:val="0"/>
          <w:sz w:val="32"/>
          <w:szCs w:val="32"/>
          <w:highlight w:val="none"/>
          <w14:textFill>
            <w14:solidFill>
              <w14:schemeClr w14:val="tx1"/>
            </w14:solidFill>
          </w14:textFill>
        </w:rPr>
        <w:t>7</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所高校征集参评博士论文</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百</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余篇，经过专家委员会的严格考评，最终评选出</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10</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篇优秀博士论文。</w:t>
      </w: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四、决策咨询</w:t>
      </w:r>
    </w:p>
    <w:p>
      <w:pPr>
        <w:widowControl/>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学会目前下设交通规划、交通设计、交通信息、交通研究4个部门，从事技术咨询相关工作。2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年，共完成</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20</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项决策咨询，业务内容涵盖交通规划、绩效考核、数据决策和方案研究。</w:t>
      </w:r>
    </w:p>
    <w:p>
      <w:pPr>
        <w:spacing w:line="620" w:lineRule="exact"/>
        <w:ind w:firstLine="640" w:firstLineChars="200"/>
        <w:rPr>
          <w:rFonts w:ascii="仿宋_GB2312" w:hAnsi="仿宋_GB2312" w:eastAsia="仿宋_GB2312"/>
          <w:color w:val="000000" w:themeColor="text1"/>
          <w:sz w:val="32"/>
          <w:szCs w:val="32"/>
          <w:highlight w:val="none"/>
          <w14:textFill>
            <w14:solidFill>
              <w14:schemeClr w14:val="tx1"/>
            </w14:solidFill>
          </w14:textFill>
        </w:rPr>
      </w:pPr>
      <w:r>
        <w:rPr>
          <w:rFonts w:ascii="仿宋_GB2312" w:hAnsi="仿宋_GB2312" w:eastAsia="仿宋_GB2312" w:cs="宋体"/>
          <w:color w:val="000000" w:themeColor="text1"/>
          <w:kern w:val="0"/>
          <w:sz w:val="32"/>
          <w:szCs w:val="32"/>
          <w:highlight w:val="none"/>
          <w14:textFill>
            <w14:solidFill>
              <w14:schemeClr w14:val="tx1"/>
            </w14:solidFill>
          </w14:textFill>
        </w:rPr>
        <w:t>202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年交通综合治理督查考核评价项目，</w:t>
      </w:r>
      <w:r>
        <w:rPr>
          <w:rFonts w:hint="eastAsia" w:ascii="仿宋_GB2312" w:hAnsi="仿宋_GB2312" w:eastAsia="仿宋_GB2312"/>
          <w:color w:val="000000" w:themeColor="text1"/>
          <w:sz w:val="32"/>
          <w:szCs w:val="32"/>
          <w:highlight w:val="none"/>
          <w14:textFill>
            <w14:solidFill>
              <w14:schemeClr w14:val="tx1"/>
            </w14:solidFill>
          </w14:textFill>
        </w:rPr>
        <w:t>深入贯彻落实《202</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sz w:val="32"/>
          <w:szCs w:val="32"/>
          <w:highlight w:val="none"/>
          <w14:textFill>
            <w14:solidFill>
              <w14:schemeClr w14:val="tx1"/>
            </w14:solidFill>
          </w14:textFill>
        </w:rPr>
        <w:t>年北京市交通综合治理行动计划》、交通综合治理领导小组会议定事项及督办任务，研究制定督查考核评价工作方案，按照“一单位一套指标一张表”和“滚动更新任务”思路，通过大数据、第三方评估核验、“四不两直”、“点穴式”检查、暗访等手段落实部署开展全市</w:t>
      </w:r>
      <w:r>
        <w:rPr>
          <w:rFonts w:ascii="仿宋_GB2312" w:hAnsi="仿宋_GB2312" w:eastAsia="仿宋_GB2312"/>
          <w:color w:val="000000" w:themeColor="text1"/>
          <w:sz w:val="32"/>
          <w:szCs w:val="32"/>
          <w:highlight w:val="none"/>
          <w14:textFill>
            <w14:solidFill>
              <w14:schemeClr w14:val="tx1"/>
            </w14:solidFill>
          </w14:textFill>
        </w:rPr>
        <w:t>16</w:t>
      </w:r>
      <w:r>
        <w:rPr>
          <w:rFonts w:hint="eastAsia" w:ascii="仿宋_GB2312" w:hAnsi="仿宋_GB2312" w:eastAsia="仿宋_GB2312"/>
          <w:color w:val="000000" w:themeColor="text1"/>
          <w:sz w:val="32"/>
          <w:szCs w:val="32"/>
          <w:highlight w:val="none"/>
          <w14:textFill>
            <w14:solidFill>
              <w14:schemeClr w14:val="tx1"/>
            </w14:solidFill>
          </w14:textFill>
        </w:rPr>
        <w:t>区、经济技术开发区和相关委办局督查考评工作。</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第三方停车综合治理督查巡查，学会作为第三方，根据《202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年道路停车服务管理评价工作细则》对全市</w:t>
      </w:r>
      <w:r>
        <w:rPr>
          <w:rFonts w:ascii="仿宋_GB2312" w:hAnsi="仿宋_GB2312" w:eastAsia="仿宋_GB2312" w:cs="宋体"/>
          <w:color w:val="000000" w:themeColor="text1"/>
          <w:kern w:val="0"/>
          <w:sz w:val="32"/>
          <w:szCs w:val="32"/>
          <w:highlight w:val="none"/>
          <w14:textFill>
            <w14:solidFill>
              <w14:schemeClr w14:val="tx1"/>
            </w14:solidFill>
          </w14:textFill>
        </w:rPr>
        <w:t>17</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个区、</w:t>
      </w:r>
      <w:r>
        <w:rPr>
          <w:rFonts w:ascii="仿宋_GB2312" w:hAnsi="仿宋_GB2312" w:eastAsia="仿宋_GB2312" w:cs="宋体"/>
          <w:color w:val="000000" w:themeColor="text1"/>
          <w:kern w:val="0"/>
          <w:sz w:val="32"/>
          <w:szCs w:val="32"/>
          <w:highlight w:val="none"/>
          <w14:textFill>
            <w14:solidFill>
              <w14:schemeClr w14:val="tx1"/>
            </w14:solidFill>
          </w14:textFill>
        </w:rPr>
        <w:t>577</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条电子收费道路，</w:t>
      </w:r>
      <w:r>
        <w:rPr>
          <w:rFonts w:ascii="仿宋_GB2312" w:hAnsi="仿宋_GB2312" w:eastAsia="仿宋_GB2312" w:cs="宋体"/>
          <w:color w:val="000000" w:themeColor="text1"/>
          <w:kern w:val="0"/>
          <w:sz w:val="32"/>
          <w:szCs w:val="32"/>
          <w:highlight w:val="none"/>
          <w14:textFill>
            <w14:solidFill>
              <w14:schemeClr w14:val="tx1"/>
            </w14:solidFill>
          </w14:textFill>
        </w:rPr>
        <w:t>56418</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个停车位开展停车综合治理督查巡查，协助市停管中心对各区政府年度停车工作进行评价。</w:t>
      </w:r>
    </w:p>
    <w:p>
      <w:pPr>
        <w:spacing w:line="620" w:lineRule="exact"/>
        <w:ind w:firstLine="640" w:firstLineChars="200"/>
        <w:rPr>
          <w:rFonts w:hint="default" w:ascii="仿宋_GB2312" w:hAnsi="仿宋_GB2312"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石景山区三级堵点区域综合治理</w:t>
      </w:r>
      <w:r>
        <w:rPr>
          <w:rFonts w:hint="eastAsia" w:ascii="仿宋_GB2312" w:hAnsi="仿宋_GB2312" w:eastAsia="仿宋_GB2312" w:cs="宋体"/>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学会配合石景山城管委对石景山区学校、医院、景区、商场等10个堵点区域进行调研、治理。</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在聚焦科研工作的同时，北京交通工程学会配合中国交通运输协会以及各平台公司企业完成三本团体标准的制定，分别为《网络预约出租汽车平台公司安全运营自律规范》、《私人小客车合乘信息服务平台公司安全运行技术规范》以及《网络预约出租汽车乘客遗失物品归还处置规范》。</w:t>
      </w:r>
    </w:p>
    <w:p>
      <w:pPr>
        <w:widowControl/>
        <w:spacing w:line="620" w:lineRule="exact"/>
        <w:jc w:val="left"/>
        <w:rPr>
          <w:rFonts w:ascii="黑体" w:hAnsi="黑体" w:eastAsia="黑体" w:cs="宋体"/>
          <w:color w:val="000000" w:themeColor="text1"/>
          <w:kern w:val="0"/>
          <w:sz w:val="32"/>
          <w:szCs w:val="32"/>
          <w:highlight w:val="none"/>
          <w14:textFill>
            <w14:solidFill>
              <w14:schemeClr w14:val="tx1"/>
            </w14:solidFill>
          </w14:textFill>
        </w:rPr>
      </w:pPr>
      <w:r>
        <w:rPr>
          <w:rFonts w:hint="eastAsia" w:ascii="黑体" w:hAnsi="黑体" w:eastAsia="黑体" w:cs="宋体"/>
          <w:color w:val="000000" w:themeColor="text1"/>
          <w:kern w:val="0"/>
          <w:sz w:val="32"/>
          <w:szCs w:val="32"/>
          <w:highlight w:val="none"/>
          <w14:textFill>
            <w14:solidFill>
              <w14:schemeClr w14:val="tx1"/>
            </w14:solidFill>
          </w14:textFill>
        </w:rPr>
        <w:t>五、</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《交通工程》杂志</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《交通工程》（CN10-1468</w:t>
      </w:r>
      <w:r>
        <w:rPr>
          <w:rFonts w:ascii="仿宋_GB2312" w:hAnsi="仿宋_GB2312" w:eastAsia="仿宋_GB2312" w:cs="宋体"/>
          <w:color w:val="000000" w:themeColor="text1"/>
          <w:kern w:val="0"/>
          <w:sz w:val="32"/>
          <w:szCs w:val="32"/>
          <w:highlight w:val="none"/>
          <w14:textFill>
            <w14:solidFill>
              <w14:schemeClr w14:val="tx1"/>
            </w14:solidFill>
          </w14:textFill>
        </w:rPr>
        <w:t>/U</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原《道路交通与安全》（CN11-3911/U））2000年创刊，由北京市科学技术协会主管，北京交通工程学会和北京工业大学共同主办，刊载内容涵盖交通规划、交通安全与心理、交通运营管理、交通控制、交通工程设计、道路工程、智能交通、交通信息、交通政策、交通行为、节能环保等交通学科方向。《交通工程》的宗旨是以交通行业需求为导向、以实践应用为重点、以理论研究为基础、以技术创新为驱动，面向交通领域的热点和难点问题，反映行业最新学术观点与成果，成为行业学术研究、成果展示和政策探讨的技术交流平台。随着优质稿源增加杂志逐年扩版，2</w:t>
      </w:r>
      <w:r>
        <w:rPr>
          <w:rFonts w:ascii="仿宋_GB2312" w:hAnsi="仿宋_GB2312" w:eastAsia="仿宋_GB2312" w:cs="宋体"/>
          <w:color w:val="000000" w:themeColor="text1"/>
          <w:kern w:val="0"/>
          <w:sz w:val="32"/>
          <w:szCs w:val="32"/>
          <w:highlight w:val="none"/>
          <w14:textFill>
            <w14:solidFill>
              <w14:schemeClr w14:val="tx1"/>
            </w14:solidFill>
          </w14:textFill>
        </w:rPr>
        <w:t>020</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年《交通工程》杂志在交通运输工程学科1</w:t>
      </w:r>
      <w:r>
        <w:rPr>
          <w:rFonts w:ascii="仿宋_GB2312" w:hAnsi="仿宋_GB2312" w:eastAsia="仿宋_GB2312" w:cs="宋体"/>
          <w:color w:val="000000" w:themeColor="text1"/>
          <w:kern w:val="0"/>
          <w:sz w:val="32"/>
          <w:szCs w:val="32"/>
          <w:highlight w:val="none"/>
          <w14:textFill>
            <w14:solidFill>
              <w14:schemeClr w14:val="tx1"/>
            </w14:solidFill>
          </w14:textFill>
        </w:rPr>
        <w:t>51</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种期刊影响力指数排名中，从2</w:t>
      </w:r>
      <w:r>
        <w:rPr>
          <w:rFonts w:ascii="仿宋_GB2312" w:hAnsi="仿宋_GB2312" w:eastAsia="仿宋_GB2312" w:cs="宋体"/>
          <w:color w:val="000000" w:themeColor="text1"/>
          <w:kern w:val="0"/>
          <w:sz w:val="32"/>
          <w:szCs w:val="32"/>
          <w:highlight w:val="none"/>
          <w14:textFill>
            <w14:solidFill>
              <w14:schemeClr w14:val="tx1"/>
            </w14:solidFill>
          </w14:textFill>
        </w:rPr>
        <w:t>019</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年的6</w:t>
      </w:r>
      <w:r>
        <w:rPr>
          <w:rFonts w:ascii="仿宋_GB2312" w:hAnsi="仿宋_GB2312" w:eastAsia="仿宋_GB2312" w:cs="宋体"/>
          <w:color w:val="000000" w:themeColor="text1"/>
          <w:kern w:val="0"/>
          <w:sz w:val="32"/>
          <w:szCs w:val="32"/>
          <w:highlight w:val="none"/>
          <w14:textFill>
            <w14:solidFill>
              <w14:schemeClr w14:val="tx1"/>
            </w14:solidFill>
          </w14:textFill>
        </w:rPr>
        <w:t>3</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位提升至4</w:t>
      </w:r>
      <w:r>
        <w:rPr>
          <w:rFonts w:ascii="仿宋_GB2312" w:hAnsi="仿宋_GB2312" w:eastAsia="仿宋_GB2312" w:cs="宋体"/>
          <w:color w:val="000000" w:themeColor="text1"/>
          <w:kern w:val="0"/>
          <w:sz w:val="32"/>
          <w:szCs w:val="32"/>
          <w:highlight w:val="none"/>
          <w14:textFill>
            <w14:solidFill>
              <w14:schemeClr w14:val="tx1"/>
            </w14:solidFill>
          </w14:textFill>
        </w:rPr>
        <w:t>7</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位，进入Q</w:t>
      </w:r>
      <w:r>
        <w:rPr>
          <w:rFonts w:ascii="仿宋_GB2312" w:hAnsi="仿宋_GB2312" w:eastAsia="仿宋_GB2312" w:cs="宋体"/>
          <w:color w:val="000000" w:themeColor="text1"/>
          <w:kern w:val="0"/>
          <w:sz w:val="32"/>
          <w:szCs w:val="32"/>
          <w:highlight w:val="none"/>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序列。</w:t>
      </w:r>
    </w:p>
    <w:p>
      <w:pPr>
        <w:widowControl/>
        <w:spacing w:line="620" w:lineRule="exact"/>
        <w:ind w:firstLine="640" w:firstLineChars="200"/>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ascii="仿宋_GB2312" w:hAnsi="仿宋_GB2312" w:eastAsia="仿宋_GB2312" w:cs="宋体"/>
          <w:color w:val="000000" w:themeColor="text1"/>
          <w:kern w:val="0"/>
          <w:sz w:val="32"/>
          <w:szCs w:val="32"/>
          <w:highlight w:val="none"/>
          <w14:textFill>
            <w14:solidFill>
              <w14:schemeClr w14:val="tx1"/>
            </w14:solidFill>
          </w14:textFill>
        </w:rPr>
        <w:t>2020年杂志</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共</w:t>
      </w:r>
      <w:r>
        <w:rPr>
          <w:rFonts w:ascii="仿宋_GB2312" w:hAnsi="仿宋_GB2312" w:eastAsia="仿宋_GB2312" w:cs="宋体"/>
          <w:color w:val="000000" w:themeColor="text1"/>
          <w:kern w:val="0"/>
          <w:sz w:val="32"/>
          <w:szCs w:val="32"/>
          <w:highlight w:val="none"/>
          <w14:textFill>
            <w14:solidFill>
              <w14:schemeClr w14:val="tx1"/>
            </w14:solidFill>
          </w14:textFill>
        </w:rPr>
        <w:t>出刊6期，专题分别为：设施与安全专题、驾驶行为专题、交通安全专题、四网融合发展专题、四网融合实践专题、站城一体专题等六大专题。杂志2020年收稿600余篇，见刊80篇。</w:t>
      </w:r>
    </w:p>
    <w:p>
      <w:pPr>
        <w:widowControl/>
        <w:spacing w:line="620" w:lineRule="exact"/>
        <w:ind w:firstLine="640" w:firstLineChars="200"/>
        <w:jc w:val="left"/>
        <w:rPr>
          <w:rFonts w:hint="eastAsia" w:ascii="仿宋_GB2312" w:hAnsi="仿宋_GB2312" w:eastAsia="仿宋_GB2312" w:cs="宋体"/>
          <w:color w:val="000000" w:themeColor="text1"/>
          <w:kern w:val="0"/>
          <w:sz w:val="32"/>
          <w:szCs w:val="32"/>
          <w:highlight w:val="none"/>
          <w14:textFill>
            <w14:solidFill>
              <w14:schemeClr w14:val="tx1"/>
            </w14:solidFill>
          </w14:textFill>
        </w:rPr>
      </w:pP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六、会员发展和服务</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会员是学会的血肉，学会的会员发展和服务，紧密围绕会员需要。一是以学术交流滋养会员，通过年会、沙龙、博士论坛、前沿讲座等丰富的学术活动，满足会员吸取前沿知识，交流最新科技成果的需要；二是以科技评价服务会员，通过优秀博士学位论文评选、有奖征文、科学技术奖等层次丰富的学术评价和人才评价，不断发现和表彰优秀的会员，满足他们职称、职务晋升过程的需要。</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学会以学术交流和科技评价等服务手段为抓手，把北京交通工程领域的优秀科技工作者吸引和凝聚成为学会的会员。学会发展会员长期遵循入会自愿、退会自由的原则，</w:t>
      </w:r>
      <w:r>
        <w:rPr>
          <w:rFonts w:ascii="仿宋_GB2312" w:hAnsi="仿宋_GB2312" w:eastAsia="仿宋_GB2312" w:cs="宋体"/>
          <w:color w:val="000000" w:themeColor="text1"/>
          <w:kern w:val="0"/>
          <w:sz w:val="32"/>
          <w:szCs w:val="32"/>
          <w:highlight w:val="none"/>
          <w14:textFill>
            <w14:solidFill>
              <w14:schemeClr w14:val="tx1"/>
            </w14:solidFill>
          </w14:textFill>
        </w:rPr>
        <w:t xml:space="preserve"> 202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ascii="仿宋_GB2312" w:hAnsi="仿宋_GB2312" w:eastAsia="仿宋_GB2312" w:cs="宋体"/>
          <w:color w:val="000000" w:themeColor="text1"/>
          <w:kern w:val="0"/>
          <w:sz w:val="32"/>
          <w:szCs w:val="32"/>
          <w:highlight w:val="none"/>
          <w14:textFill>
            <w14:solidFill>
              <w14:schemeClr w14:val="tx1"/>
            </w14:solidFill>
          </w14:textFill>
        </w:rPr>
        <w:t>年度，新发展个人会员1</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5</w:t>
      </w:r>
      <w:r>
        <w:rPr>
          <w:rFonts w:ascii="仿宋_GB2312" w:hAnsi="仿宋_GB2312" w:eastAsia="仿宋_GB2312" w:cs="宋体"/>
          <w:color w:val="000000" w:themeColor="text1"/>
          <w:kern w:val="0"/>
          <w:sz w:val="32"/>
          <w:szCs w:val="32"/>
          <w:highlight w:val="none"/>
          <w14:textFill>
            <w14:solidFill>
              <w14:schemeClr w14:val="tx1"/>
            </w14:solidFill>
          </w14:textFill>
        </w:rPr>
        <w:t>人，</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5</w:t>
      </w:r>
      <w:r>
        <w:rPr>
          <w:rFonts w:ascii="仿宋_GB2312" w:hAnsi="仿宋_GB2312" w:eastAsia="仿宋_GB2312" w:cs="宋体"/>
          <w:color w:val="000000" w:themeColor="text1"/>
          <w:kern w:val="0"/>
          <w:sz w:val="32"/>
          <w:szCs w:val="32"/>
          <w:highlight w:val="none"/>
          <w14:textFill>
            <w14:solidFill>
              <w14:schemeClr w14:val="tx1"/>
            </w14:solidFill>
          </w14:textFill>
        </w:rPr>
        <w:t>位个人的入会申请。在会员发展过程中，未发现本届理事会有任何违规行为。秘书处和会员保持定期联系，对长期不参加学会活动、不履行会员义务的僵尸会员做劝退处理。学会现有在册个人会员1</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30</w:t>
      </w:r>
      <w:r>
        <w:rPr>
          <w:rFonts w:ascii="仿宋_GB2312" w:hAnsi="仿宋_GB2312" w:eastAsia="仿宋_GB2312" w:cs="宋体"/>
          <w:color w:val="000000" w:themeColor="text1"/>
          <w:kern w:val="0"/>
          <w:sz w:val="32"/>
          <w:szCs w:val="32"/>
          <w:highlight w:val="none"/>
          <w14:textFill>
            <w14:solidFill>
              <w14:schemeClr w14:val="tx1"/>
            </w14:solidFill>
          </w14:textFill>
        </w:rPr>
        <w:t>人，单位会员</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45</w:t>
      </w:r>
      <w:r>
        <w:rPr>
          <w:rFonts w:ascii="仿宋_GB2312" w:hAnsi="仿宋_GB2312" w:eastAsia="仿宋_GB2312" w:cs="宋体"/>
          <w:color w:val="000000" w:themeColor="text1"/>
          <w:kern w:val="0"/>
          <w:sz w:val="32"/>
          <w:szCs w:val="32"/>
          <w:highlight w:val="none"/>
          <w14:textFill>
            <w14:solidFill>
              <w14:schemeClr w14:val="tx1"/>
            </w14:solidFill>
          </w14:textFill>
        </w:rPr>
        <w:t>家，未收到任何学会会员有违法违纪、损害学会声誉的行为的举报。</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p>
    <w:p>
      <w:pPr>
        <w:spacing w:line="620" w:lineRule="exact"/>
        <w:ind w:firstLine="640" w:firstLineChars="200"/>
        <w:rPr>
          <w:rFonts w:hint="eastAsia" w:ascii="仿宋_GB2312" w:hAnsi="仿宋_GB2312" w:eastAsia="仿宋_GB2312" w:cs="宋体"/>
          <w:color w:val="000000" w:themeColor="text1"/>
          <w:kern w:val="0"/>
          <w:sz w:val="32"/>
          <w:szCs w:val="32"/>
          <w:highlight w:val="none"/>
          <w14:textFill>
            <w14:solidFill>
              <w14:schemeClr w14:val="tx1"/>
            </w14:solidFill>
          </w14:textFill>
        </w:rPr>
      </w:pPr>
    </w:p>
    <w:p>
      <w:pPr>
        <w:widowControl/>
        <w:spacing w:line="620" w:lineRule="exact"/>
        <w:jc w:val="center"/>
        <w:rPr>
          <w:rFonts w:ascii="FZXiaoBiaoSong-B05S" w:hAnsi="FZXiaoBiaoSong-B05S" w:eastAsia="FZXiaoBiaoSong-B05S" w:cs="宋体"/>
          <w:color w:val="000000" w:themeColor="text1"/>
          <w:kern w:val="0"/>
          <w:sz w:val="44"/>
          <w:szCs w:val="44"/>
          <w:highlight w:val="none"/>
          <w14:textFill>
            <w14:solidFill>
              <w14:schemeClr w14:val="tx1"/>
            </w14:solidFill>
          </w14:textFill>
        </w:rPr>
      </w:pPr>
      <w:r>
        <w:rPr>
          <w:rFonts w:hint="eastAsia" w:ascii="FZXiaoBiaoSong-B05S" w:hAnsi="FZXiaoBiaoSong-B05S" w:eastAsia="FZXiaoBiaoSong-B05S" w:cs="宋体"/>
          <w:color w:val="000000" w:themeColor="text1"/>
          <w:kern w:val="0"/>
          <w:sz w:val="44"/>
          <w:szCs w:val="44"/>
          <w:highlight w:val="none"/>
          <w14:textFill>
            <w14:solidFill>
              <w14:schemeClr w14:val="tx1"/>
            </w14:solidFill>
          </w14:textFill>
        </w:rPr>
        <w:t>2</w:t>
      </w:r>
      <w:r>
        <w:rPr>
          <w:rFonts w:ascii="FZXiaoBiaoSong-B05S" w:hAnsi="FZXiaoBiaoSong-B05S" w:eastAsia="FZXiaoBiaoSong-B05S" w:cs="宋体"/>
          <w:color w:val="000000" w:themeColor="text1"/>
          <w:kern w:val="0"/>
          <w:sz w:val="44"/>
          <w:szCs w:val="44"/>
          <w:highlight w:val="none"/>
          <w14:textFill>
            <w14:solidFill>
              <w14:schemeClr w14:val="tx1"/>
            </w14:solidFill>
          </w14:textFill>
        </w:rPr>
        <w:t>02</w:t>
      </w:r>
      <w:r>
        <w:rPr>
          <w:rFonts w:hint="eastAsia" w:ascii="FZXiaoBiaoSong-B05S" w:hAnsi="FZXiaoBiaoSong-B05S" w:eastAsia="FZXiaoBiaoSong-B05S" w:cs="宋体"/>
          <w:color w:val="000000" w:themeColor="text1"/>
          <w:kern w:val="0"/>
          <w:sz w:val="44"/>
          <w:szCs w:val="44"/>
          <w:highlight w:val="none"/>
          <w:lang w:val="en-US" w:eastAsia="zh-CN"/>
          <w14:textFill>
            <w14:solidFill>
              <w14:schemeClr w14:val="tx1"/>
            </w14:solidFill>
          </w14:textFill>
        </w:rPr>
        <w:t>3</w:t>
      </w:r>
      <w:r>
        <w:rPr>
          <w:rFonts w:hint="eastAsia" w:ascii="FZXiaoBiaoSong-B05S" w:hAnsi="FZXiaoBiaoSong-B05S" w:eastAsia="FZXiaoBiaoSong-B05S" w:cs="宋体"/>
          <w:color w:val="000000" w:themeColor="text1"/>
          <w:kern w:val="0"/>
          <w:sz w:val="44"/>
          <w:szCs w:val="44"/>
          <w:highlight w:val="none"/>
          <w14:textFill>
            <w14:solidFill>
              <w14:schemeClr w14:val="tx1"/>
            </w14:solidFill>
          </w14:textFill>
        </w:rPr>
        <w:t>年工作计划</w:t>
      </w: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一、指导思想</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以《北京市科协系统深化改革实施方案》为指导思想，切实保持和增强学会工作的政治性、先进性、群众性，团结引领会员为落实首都城市战略定位、推动京津冀协同发展、建设具有全球影响力的科技创新中心和国际一流的和谐宜居之都贡献力量。</w:t>
      </w: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二、主要思路</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一是把学会已经坚持多年，在会员中、行业中已经形成一定认知度和影响力的品牌活动继续办下去；二是继续依托秘书处4大部门的项目经验和专家委员会的智力资源，做好政府的决策咨询工作；三是坚持通过科技评价发现人才、表彰人才，鼓励北京交通工程领域的科技工作者不断创新，促进新技术、新成果的推广应用。</w:t>
      </w: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p>
    <w:p>
      <w:pPr>
        <w:widowControl/>
        <w:spacing w:line="620" w:lineRule="exact"/>
        <w:jc w:val="lef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三、工作计划和重点项目</w:t>
      </w: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年，在党建工作小组和理事会的领导下，一是继续有条不紊的开展学会的传统品牌活动，包括2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年度北京交通工程学会有奖征文，第</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五</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届交通运输工程全国优秀博士学位论文评选，第</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六</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届交通运输行业博士论坛和2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年北京交通工程学会年会；二是做好2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度《交通工程》杂志的选题设计、组稿、审稿、编辑加工、校对、板式设计、制版印刷和发行的各项工作；三是在北京市科协的指导下，不断创新和丰富服务手段，开展北京地区广受关注学术成果遴选工作。四是北京交通工程学会学会理事会换届工作；</w:t>
      </w:r>
    </w:p>
    <w:p>
      <w:pPr>
        <w:widowControl/>
        <w:spacing w:line="620" w:lineRule="exact"/>
        <w:jc w:val="left"/>
        <w:rPr>
          <w:rFonts w:ascii="黑体" w:hAnsi="黑体" w:eastAsia="黑体" w:cs="宋体"/>
          <w:color w:val="000000" w:themeColor="text1"/>
          <w:kern w:val="0"/>
          <w:sz w:val="32"/>
          <w:szCs w:val="32"/>
          <w:highlight w:val="none"/>
          <w14:textFill>
            <w14:solidFill>
              <w14:schemeClr w14:val="tx1"/>
            </w14:solidFill>
          </w14:textFill>
        </w:rPr>
      </w:pP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p>
    <w:p>
      <w:pPr>
        <w:spacing w:line="620" w:lineRule="exact"/>
        <w:ind w:firstLine="640" w:firstLineChars="200"/>
        <w:rPr>
          <w:rFonts w:ascii="仿宋_GB2312" w:hAnsi="仿宋_GB2312" w:eastAsia="仿宋_GB2312" w:cs="宋体"/>
          <w:color w:val="000000" w:themeColor="text1"/>
          <w:kern w:val="0"/>
          <w:sz w:val="32"/>
          <w:szCs w:val="32"/>
          <w:highlight w:val="none"/>
          <w14:textFill>
            <w14:solidFill>
              <w14:schemeClr w14:val="tx1"/>
            </w14:solidFill>
          </w14:textFill>
        </w:rPr>
      </w:pPr>
    </w:p>
    <w:p>
      <w:pPr>
        <w:widowControl/>
        <w:spacing w:line="620" w:lineRule="exact"/>
        <w:jc w:val="righ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北京交通工程学会</w:t>
      </w:r>
    </w:p>
    <w:p>
      <w:pPr>
        <w:widowControl/>
        <w:spacing w:line="620" w:lineRule="exact"/>
        <w:jc w:val="right"/>
        <w:rPr>
          <w:rFonts w:ascii="仿宋_GB2312" w:hAnsi="仿宋_GB2312"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宋体"/>
          <w:color w:val="000000" w:themeColor="text1"/>
          <w:kern w:val="0"/>
          <w:sz w:val="32"/>
          <w:szCs w:val="32"/>
          <w:highlight w:val="none"/>
          <w14:textFill>
            <w14:solidFill>
              <w14:schemeClr w14:val="tx1"/>
            </w14:solidFill>
          </w14:textFill>
        </w:rPr>
        <w:t>2</w:t>
      </w:r>
      <w:r>
        <w:rPr>
          <w:rFonts w:ascii="仿宋_GB2312" w:hAnsi="仿宋_GB2312" w:eastAsia="仿宋_GB2312" w:cs="宋体"/>
          <w:color w:val="000000" w:themeColor="text1"/>
          <w:kern w:val="0"/>
          <w:sz w:val="32"/>
          <w:szCs w:val="32"/>
          <w:highlight w:val="none"/>
          <w14:textFill>
            <w14:solidFill>
              <w14:schemeClr w14:val="tx1"/>
            </w14:solidFill>
          </w14:textFill>
        </w:rPr>
        <w:t>02</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年</w:t>
      </w:r>
      <w:r>
        <w:rPr>
          <w:rFonts w:ascii="仿宋_GB2312" w:hAnsi="仿宋_GB2312" w:eastAsia="仿宋_GB2312" w:cs="宋体"/>
          <w:color w:val="000000" w:themeColor="text1"/>
          <w:kern w:val="0"/>
          <w:sz w:val="32"/>
          <w:szCs w:val="32"/>
          <w:highlight w:val="none"/>
          <w14:textFill>
            <w14:solidFill>
              <w14:schemeClr w14:val="tx1"/>
            </w14:solidFill>
          </w14:textFill>
        </w:rPr>
        <w:t>1</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月</w:t>
      </w:r>
      <w:r>
        <w:rPr>
          <w:rFonts w:hint="eastAsia" w:ascii="仿宋_GB2312" w:hAnsi="仿宋_GB2312" w:eastAsia="仿宋_GB2312" w:cs="宋体"/>
          <w:color w:val="000000" w:themeColor="text1"/>
          <w:kern w:val="0"/>
          <w:sz w:val="32"/>
          <w:szCs w:val="32"/>
          <w:highlight w:val="none"/>
          <w:lang w:val="en-US" w:eastAsia="zh-CN"/>
          <w14:textFill>
            <w14:solidFill>
              <w14:schemeClr w14:val="tx1"/>
            </w14:solidFill>
          </w14:textFill>
        </w:rPr>
        <w:t>8</w:t>
      </w:r>
      <w:r>
        <w:rPr>
          <w:rFonts w:hint="eastAsia" w:ascii="仿宋_GB2312" w:hAnsi="仿宋_GB2312" w:eastAsia="仿宋_GB2312" w:cs="宋体"/>
          <w:color w:val="000000" w:themeColor="text1"/>
          <w:kern w:val="0"/>
          <w:sz w:val="32"/>
          <w:szCs w:val="32"/>
          <w:highlight w:val="none"/>
          <w14:textFill>
            <w14:solidFill>
              <w14:schemeClr w14:val="tx1"/>
            </w14:solidFill>
          </w14:textFill>
        </w:rPr>
        <w:t>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iaoBiaoSong-B05S">
    <w:altName w:val="微软雅黑"/>
    <w:panose1 w:val="00000000000000000000"/>
    <w:charset w:val="86"/>
    <w:family w:val="auto"/>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zYWZlMTZkMjcwZmZiNjNiOGIxZDA3ZjE1ZTlmYTYifQ=="/>
  </w:docVars>
  <w:rsids>
    <w:rsidRoot w:val="00EE40A3"/>
    <w:rsid w:val="00040C6C"/>
    <w:rsid w:val="00092E02"/>
    <w:rsid w:val="000A1113"/>
    <w:rsid w:val="000D6A9E"/>
    <w:rsid w:val="000F1758"/>
    <w:rsid w:val="0015746F"/>
    <w:rsid w:val="00174016"/>
    <w:rsid w:val="0017526D"/>
    <w:rsid w:val="0019055D"/>
    <w:rsid w:val="001E0838"/>
    <w:rsid w:val="00247E97"/>
    <w:rsid w:val="00253125"/>
    <w:rsid w:val="002A18ED"/>
    <w:rsid w:val="003323ED"/>
    <w:rsid w:val="00337EA9"/>
    <w:rsid w:val="003A40D7"/>
    <w:rsid w:val="00425292"/>
    <w:rsid w:val="004331BA"/>
    <w:rsid w:val="00470A65"/>
    <w:rsid w:val="00477E66"/>
    <w:rsid w:val="00481E71"/>
    <w:rsid w:val="00512931"/>
    <w:rsid w:val="005302E1"/>
    <w:rsid w:val="00577FA9"/>
    <w:rsid w:val="00584BA2"/>
    <w:rsid w:val="005E0503"/>
    <w:rsid w:val="005E7A72"/>
    <w:rsid w:val="00616CA9"/>
    <w:rsid w:val="006B5141"/>
    <w:rsid w:val="006C1ACF"/>
    <w:rsid w:val="006E4687"/>
    <w:rsid w:val="00752058"/>
    <w:rsid w:val="00765265"/>
    <w:rsid w:val="00780298"/>
    <w:rsid w:val="007A18D4"/>
    <w:rsid w:val="007D5321"/>
    <w:rsid w:val="007F4674"/>
    <w:rsid w:val="00891E54"/>
    <w:rsid w:val="008A63E6"/>
    <w:rsid w:val="008B2CDC"/>
    <w:rsid w:val="008C6586"/>
    <w:rsid w:val="008E2DE1"/>
    <w:rsid w:val="008F18D9"/>
    <w:rsid w:val="00946163"/>
    <w:rsid w:val="0097109B"/>
    <w:rsid w:val="009832C5"/>
    <w:rsid w:val="00987C03"/>
    <w:rsid w:val="00997F21"/>
    <w:rsid w:val="009B36A2"/>
    <w:rsid w:val="009D686B"/>
    <w:rsid w:val="009E7A9E"/>
    <w:rsid w:val="009F00BE"/>
    <w:rsid w:val="009F650F"/>
    <w:rsid w:val="00A33270"/>
    <w:rsid w:val="00A5149C"/>
    <w:rsid w:val="00A63C69"/>
    <w:rsid w:val="00A84B51"/>
    <w:rsid w:val="00AB7E09"/>
    <w:rsid w:val="00AC186E"/>
    <w:rsid w:val="00B333D5"/>
    <w:rsid w:val="00B56983"/>
    <w:rsid w:val="00B91688"/>
    <w:rsid w:val="00B94B0D"/>
    <w:rsid w:val="00BD46F5"/>
    <w:rsid w:val="00C02E75"/>
    <w:rsid w:val="00C10991"/>
    <w:rsid w:val="00C550C7"/>
    <w:rsid w:val="00C6377E"/>
    <w:rsid w:val="00C84136"/>
    <w:rsid w:val="00C86EAE"/>
    <w:rsid w:val="00CB1585"/>
    <w:rsid w:val="00CB68C1"/>
    <w:rsid w:val="00CC4499"/>
    <w:rsid w:val="00CE723F"/>
    <w:rsid w:val="00CF107A"/>
    <w:rsid w:val="00D36260"/>
    <w:rsid w:val="00DD3C7A"/>
    <w:rsid w:val="00DE5EAC"/>
    <w:rsid w:val="00E543B6"/>
    <w:rsid w:val="00E66229"/>
    <w:rsid w:val="00E8596D"/>
    <w:rsid w:val="00EE40A3"/>
    <w:rsid w:val="00F178DE"/>
    <w:rsid w:val="00F31F1F"/>
    <w:rsid w:val="00F43667"/>
    <w:rsid w:val="00F53AE6"/>
    <w:rsid w:val="00F53C08"/>
    <w:rsid w:val="00F71AD5"/>
    <w:rsid w:val="00F72834"/>
    <w:rsid w:val="00FD74F4"/>
    <w:rsid w:val="00FF20E3"/>
    <w:rsid w:val="1D702577"/>
    <w:rsid w:val="21686D7A"/>
    <w:rsid w:val="2AF813AB"/>
    <w:rsid w:val="2B755F58"/>
    <w:rsid w:val="34EB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rPr>
  </w:style>
  <w:style w:type="character" w:styleId="10">
    <w:name w:val="Strong"/>
    <w:basedOn w:val="9"/>
    <w:qFormat/>
    <w:uiPriority w:val="22"/>
    <w:rPr>
      <w:b/>
      <w:bCs/>
    </w:rPr>
  </w:style>
  <w:style w:type="character" w:customStyle="1" w:styleId="11">
    <w:name w:val="标题 4 字符"/>
    <w:basedOn w:val="9"/>
    <w:link w:val="3"/>
    <w:qFormat/>
    <w:uiPriority w:val="9"/>
    <w:rPr>
      <w:rFonts w:ascii="宋体" w:hAnsi="宋体" w:eastAsia="宋体" w:cs="宋体"/>
      <w:b/>
      <w:bCs/>
      <w:kern w:val="0"/>
    </w:rPr>
  </w:style>
  <w:style w:type="character" w:customStyle="1" w:styleId="12">
    <w:name w:val="标题 1 字符"/>
    <w:basedOn w:val="9"/>
    <w:link w:val="2"/>
    <w:qFormat/>
    <w:uiPriority w:val="9"/>
    <w:rPr>
      <w:b/>
      <w:bCs/>
      <w:kern w:val="44"/>
      <w:sz w:val="44"/>
      <w:szCs w:val="44"/>
    </w:rPr>
  </w:style>
  <w:style w:type="character" w:customStyle="1" w:styleId="13">
    <w:name w:val="HTML 预设格式 字符"/>
    <w:basedOn w:val="9"/>
    <w:link w:val="6"/>
    <w:semiHidden/>
    <w:qFormat/>
    <w:uiPriority w:val="99"/>
    <w:rPr>
      <w:rFonts w:ascii="宋体" w:hAnsi="宋体" w:eastAsia="宋体" w:cs="宋体"/>
      <w:kern w:val="0"/>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paragraph" w:styleId="16">
    <w:name w:val="List Paragraph"/>
    <w:basedOn w:val="1"/>
    <w:qFormat/>
    <w:uiPriority w:val="34"/>
    <w:pPr>
      <w:widowControl/>
      <w:ind w:firstLine="420" w:firstLineChars="200"/>
      <w:jc w:val="left"/>
    </w:pPr>
    <w:rPr>
      <w:rFonts w:ascii="宋体" w:hAnsi="宋体" w:eastAsia="宋体" w:cs="宋体"/>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5271</Words>
  <Characters>5434</Characters>
  <Lines>44</Lines>
  <Paragraphs>12</Paragraphs>
  <TotalTime>46</TotalTime>
  <ScaleCrop>false</ScaleCrop>
  <LinksUpToDate>false</LinksUpToDate>
  <CharactersWithSpaces>5439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2021-01-05T07:29:00Z</dcterms:created>
  <dc:creator>Microsoft Office 用户</dc:creator>
  <cp:lastModifiedBy>九日。</cp:lastModifiedBy>
  <dcterms:modified xsi:type="dcterms:W3CDTF">2023-08-08T09:01:21Z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86DD615324424812B679834CCEF904FA</vt:lpwstr>
  </property>
</Properties>
</file>